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jc w:val="both"/>
        <w:rPr>
          <w:rFonts w:hint="eastAsia" w:ascii="黑体" w:hAnsi="宋体" w:eastAsia="黑体"/>
          <w:sz w:val="32"/>
          <w:szCs w:val="32"/>
        </w:rPr>
      </w:pPr>
    </w:p>
    <w:p>
      <w:pPr>
        <w:shd w:val="clear" w:color="auto" w:fill="FFFFFF"/>
        <w:jc w:val="center"/>
        <w:rPr>
          <w:rFonts w:hint="eastAsia" w:ascii="黑体" w:hAnsi="宋体" w:eastAsia="黑体"/>
          <w:sz w:val="32"/>
          <w:szCs w:val="32"/>
        </w:rPr>
      </w:pPr>
      <w:r>
        <w:rPr>
          <w:rFonts w:hint="eastAsia" w:ascii="宋体" w:hAnsi="宋体" w:eastAsia="宋体" w:cs="宋体"/>
        </w:rPr>
        <mc:AlternateContent>
          <mc:Choice Requires="wps">
            <w:drawing>
              <wp:anchor distT="0" distB="0" distL="114300" distR="114300" simplePos="0" relativeHeight="251660288" behindDoc="0" locked="0" layoutInCell="1" allowOverlap="1">
                <wp:simplePos x="0" y="0"/>
                <wp:positionH relativeFrom="column">
                  <wp:posOffset>-334010</wp:posOffset>
                </wp:positionH>
                <wp:positionV relativeFrom="paragraph">
                  <wp:posOffset>-332740</wp:posOffset>
                </wp:positionV>
                <wp:extent cx="5866130" cy="1399540"/>
                <wp:effectExtent l="0" t="0" r="1270" b="2540"/>
                <wp:wrapNone/>
                <wp:docPr id="3" name="文本框 3"/>
                <wp:cNvGraphicFramePr/>
                <a:graphic xmlns:a="http://schemas.openxmlformats.org/drawingml/2006/main">
                  <a:graphicData uri="http://schemas.microsoft.com/office/word/2010/wordprocessingShape">
                    <wps:wsp>
                      <wps:cNvSpPr txBox="1"/>
                      <wps:spPr>
                        <a:xfrm>
                          <a:off x="0" y="0"/>
                          <a:ext cx="5866130" cy="13995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b/>
                                <w:bCs/>
                                <w:sz w:val="22"/>
                                <w:szCs w:val="28"/>
                              </w:rPr>
                            </w:pPr>
                            <w:r>
                              <w:rPr>
                                <w:rFonts w:hint="eastAsia"/>
                                <w:b/>
                                <w:bCs/>
                                <w:color w:val="FF0000"/>
                                <w:sz w:val="72"/>
                                <w:szCs w:val="72"/>
                              </w:rPr>
                              <w:t>湖北大学文件</w:t>
                            </w:r>
                          </w:p>
                          <w:p>
                            <w:pPr>
                              <w:jc w:val="center"/>
                              <w:rPr>
                                <w:rFonts w:asciiTheme="majorEastAsia" w:hAnsiTheme="majorEastAsia" w:eastAsiaTheme="majorEastAsia" w:cstheme="majorEastAsia"/>
                                <w:sz w:val="24"/>
                                <w:szCs w:val="32"/>
                              </w:rPr>
                            </w:pPr>
                          </w:p>
                          <w:p>
                            <w:pPr>
                              <w:spacing w:before="156" w:beforeLines="50"/>
                              <w:jc w:val="center"/>
                              <w:rPr>
                                <w:rFonts w:asciiTheme="majorEastAsia" w:hAnsiTheme="majorEastAsia" w:eastAsiaTheme="majorEastAsia" w:cstheme="majorEastAsia"/>
                                <w:sz w:val="28"/>
                                <w:szCs w:val="36"/>
                              </w:rPr>
                            </w:pPr>
                            <w:r>
                              <w:rPr>
                                <w:rFonts w:hint="eastAsia" w:asciiTheme="majorEastAsia" w:hAnsiTheme="majorEastAsia" w:eastAsiaTheme="majorEastAsia" w:cstheme="majorEastAsia"/>
                                <w:sz w:val="28"/>
                                <w:szCs w:val="36"/>
                              </w:rPr>
                              <w:t>校教字[2006]36号</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pt;margin-top:-26.2pt;height:110.2pt;width:461.9pt;z-index:251660288;mso-width-relative:page;mso-height-relative:page;" fillcolor="#FFFFFF [3201]" filled="t" stroked="f" coordsize="21600,21600" o:gfxdata="UEsDBAoAAAAAAIdO4kAAAAAAAAAAAAAAAAAEAAAAZHJzL1BLAwQUAAAACACHTuJA/w9kdNYAAAAL&#10;AQAADwAAAGRycy9kb3ducmV2LnhtbE2Py07DMBBF90j8gzVI7Fo7UUmjEKcLJLZItKVrNzZxhD2O&#10;bPf59Qxs2t2M5ujOue3q7B07mpjGgBKKuQBmsA96xEHCdvM+q4GlrFArF9BIuJgEq+7xoVWNDif8&#10;NMd1HhiFYGqUBJvz1HCeemu8SvMwGaTbd4heZVrjwHVUJwr3jpdCVNyrEemDVZN5s6b/WR+8hN3g&#10;r7uvYopWe7fAj+tlsw2jlM9PhXgFls0532D40yd16MhpHw6oE3MSZi9lRej/sABGRL0sSmB7Qqta&#10;AO9aft+h+wVQSwMEFAAAAAgAh07iQK3Hd9VTAgAAkAQAAA4AAABkcnMvZTJvRG9jLnhtbK1UwW4T&#10;MRC9I/EPlu90s0kTmqibKrQKQqpopYA4O147a8n2GNvJbvkA+ANOXLjzXf0Oxt6kDYVDD+TgzHjG&#10;M/PezOz5RWc02QkfFNiKlicDSoTlUCu7qejHD8tXZ5SEyGzNNFhR0TsR6MX85Yvz1s3EEBrQtfAE&#10;g9gwa11FmxjdrCgCb4Rh4QScsGiU4A2LqPpNUXvWYnSji+FgMCla8LXzwEUIeHvVG+k+on9OQJBS&#10;cXEFfGuEjX1ULzSLCCk0ygU6z9VKKXi8kTKISHRFEWnMJyZBeZ3OYn7OZhvPXKP4vgT2nBKeYDJM&#10;WUz6EOqKRUa2Xv0VyijuIYCMJxxM0QPJjCCKcvCEm1XDnMhYkOrgHkgP/y8sf7+79UTVFR1RYpnB&#10;ht9//3b/49f9z69klOhpXZih18qhX+zeQIdDc7gPeJlQd9Kb9I94CNqR3LsHckUXCcfL8dlkUo7Q&#10;xNFWjqbT8Wmmv3h87nyIbwUYkoSKeuxeJpXtrkPEUtD14JKyBdCqXiqts+I360vtyY5hp5f5l6rE&#10;J3+4aUvaik5G40GObCG97/20RfeEtkeVpNituz0Fa6jvkAEP/QgFx5cKq7xmId4yjzODyHCr4g0e&#10;UgMmgb1ESQP+y7/ukz+2Eq2UtDiDFQ2ft8wLSvQ7i02elqfIEYlZOR2/HqLijy3rY4vdmktA8CXu&#10;r+NZTP5RH0TpwXzC5VukrGhilmPuisaDeBn7zcDl5WKxyE44po7Fa7tyPIVOVFtYbCNIlVuSaOq5&#10;2bOHg5pp3y9V2oRjPXs9fkjm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D2R01gAAAAsBAAAP&#10;AAAAAAAAAAEAIAAAACIAAABkcnMvZG93bnJldi54bWxQSwECFAAUAAAACACHTuJArcd31VMCAACQ&#10;BAAADgAAAAAAAAABACAAAAAlAQAAZHJzL2Uyb0RvYy54bWxQSwUGAAAAAAYABgBZAQAA6gUAAAAA&#10;">
                <v:fill on="t" focussize="0,0"/>
                <v:stroke on="f" weight="0.5pt"/>
                <v:imagedata o:title=""/>
                <o:lock v:ext="edit" aspectratio="f"/>
                <v:textbox>
                  <w:txbxContent>
                    <w:p>
                      <w:pPr>
                        <w:jc w:val="center"/>
                        <w:rPr>
                          <w:b/>
                          <w:bCs/>
                          <w:sz w:val="22"/>
                          <w:szCs w:val="28"/>
                        </w:rPr>
                      </w:pPr>
                      <w:r>
                        <w:rPr>
                          <w:rFonts w:hint="eastAsia"/>
                          <w:b/>
                          <w:bCs/>
                          <w:color w:val="FF0000"/>
                          <w:sz w:val="72"/>
                          <w:szCs w:val="72"/>
                        </w:rPr>
                        <w:t>湖北大学文件</w:t>
                      </w:r>
                    </w:p>
                    <w:p>
                      <w:pPr>
                        <w:jc w:val="center"/>
                        <w:rPr>
                          <w:rFonts w:asciiTheme="majorEastAsia" w:hAnsiTheme="majorEastAsia" w:eastAsiaTheme="majorEastAsia" w:cstheme="majorEastAsia"/>
                          <w:sz w:val="24"/>
                          <w:szCs w:val="32"/>
                        </w:rPr>
                      </w:pPr>
                    </w:p>
                    <w:p>
                      <w:pPr>
                        <w:spacing w:before="156" w:beforeLines="50"/>
                        <w:jc w:val="center"/>
                        <w:rPr>
                          <w:rFonts w:asciiTheme="majorEastAsia" w:hAnsiTheme="majorEastAsia" w:eastAsiaTheme="majorEastAsia" w:cstheme="majorEastAsia"/>
                          <w:sz w:val="28"/>
                          <w:szCs w:val="36"/>
                        </w:rPr>
                      </w:pPr>
                      <w:r>
                        <w:rPr>
                          <w:rFonts w:hint="eastAsia" w:asciiTheme="majorEastAsia" w:hAnsiTheme="majorEastAsia" w:eastAsiaTheme="majorEastAsia" w:cstheme="majorEastAsia"/>
                          <w:sz w:val="28"/>
                          <w:szCs w:val="36"/>
                        </w:rPr>
                        <w:t>校教字[2006]36号</w:t>
                      </w:r>
                    </w:p>
                  </w:txbxContent>
                </v:textbox>
              </v:shape>
            </w:pict>
          </mc:Fallback>
        </mc:AlternateContent>
      </w:r>
    </w:p>
    <w:p>
      <w:pPr>
        <w:shd w:val="clear" w:color="auto" w:fill="FFFFFF"/>
        <w:jc w:val="center"/>
        <w:rPr>
          <w:rFonts w:hint="eastAsia" w:ascii="黑体" w:hAnsi="宋体" w:eastAsia="黑体"/>
          <w:sz w:val="32"/>
          <w:szCs w:val="32"/>
        </w:rPr>
      </w:pPr>
    </w:p>
    <w:p>
      <w:pPr>
        <w:shd w:val="clear" w:color="auto" w:fill="FFFFFF"/>
        <w:jc w:val="center"/>
        <w:rPr>
          <w:rFonts w:hint="eastAsia" w:ascii="黑体" w:hAnsi="宋体" w:eastAsia="黑体"/>
          <w:sz w:val="32"/>
          <w:szCs w:val="32"/>
        </w:rPr>
      </w:pPr>
    </w:p>
    <w:p>
      <w:pPr>
        <w:shd w:val="clear" w:color="auto" w:fill="FFFFFF"/>
        <w:jc w:val="center"/>
        <w:rPr>
          <w:rFonts w:hint="eastAsia" w:ascii="黑体" w:hAnsi="宋体" w:eastAsia="黑体"/>
          <w:sz w:val="32"/>
          <w:szCs w:val="32"/>
        </w:rPr>
      </w:pPr>
      <w:r>
        <w:rPr>
          <w:rFonts w:hint="eastAsia" w:ascii="黑体" w:hAnsi="宋体" w:eastAsia="黑体"/>
          <w:sz w:val="32"/>
          <w:szCs w:val="32"/>
        </w:rPr>
        <w:t>湖北大学教学专项建设项目管理规定（试行）</w:t>
      </w:r>
    </w:p>
    <w:p>
      <w:pPr>
        <w:shd w:val="clear" w:color="auto" w:fill="FFFFFF"/>
        <w:jc w:val="center"/>
        <w:rPr>
          <w:rFonts w:hint="eastAsia" w:ascii="方正书宋简体" w:hAnsi="宋体" w:eastAsia="方正书宋简体"/>
          <w:spacing w:val="24"/>
          <w:szCs w:val="21"/>
        </w:rPr>
      </w:pPr>
    </w:p>
    <w:p>
      <w:pPr>
        <w:shd w:val="clear" w:color="auto" w:fill="FFFFFF"/>
        <w:tabs>
          <w:tab w:val="left" w:pos="1260"/>
          <w:tab w:val="left" w:pos="1395"/>
          <w:tab w:val="left" w:pos="1800"/>
        </w:tabs>
        <w:spacing w:line="340" w:lineRule="exact"/>
        <w:rPr>
          <w:rFonts w:hint="eastAsia" w:ascii="方正书宋简体" w:hAnsi="宋体" w:eastAsia="方正书宋简体"/>
          <w:spacing w:val="24"/>
          <w:szCs w:val="21"/>
        </w:rPr>
      </w:pPr>
      <w:bookmarkStart w:id="0" w:name="_GoBack"/>
      <w:bookmarkEnd w:id="0"/>
    </w:p>
    <w:p>
      <w:pPr>
        <w:shd w:val="clear" w:color="auto" w:fill="FFFFFF"/>
        <w:tabs>
          <w:tab w:val="left" w:pos="1260"/>
          <w:tab w:val="left" w:pos="1395"/>
          <w:tab w:val="left" w:pos="1800"/>
        </w:tabs>
        <w:spacing w:line="33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为了进一步规范教学专项建设项目管理工作，保证教学专项建设项目顺利实施，提高教学专项建设项目建设质量，特制定本规定。</w:t>
      </w:r>
    </w:p>
    <w:p>
      <w:pPr>
        <w:shd w:val="clear" w:color="auto" w:fill="FFFFFF"/>
        <w:tabs>
          <w:tab w:val="left" w:pos="1260"/>
          <w:tab w:val="left" w:pos="1395"/>
          <w:tab w:val="left" w:pos="1800"/>
        </w:tabs>
        <w:spacing w:beforeLines="50" w:afterLines="50" w:line="330" w:lineRule="exact"/>
        <w:ind w:firstLine="420" w:firstLineChars="200"/>
        <w:rPr>
          <w:rFonts w:hint="eastAsia" w:ascii="黑体" w:hAnsi="宋体" w:eastAsia="黑体"/>
          <w:szCs w:val="21"/>
        </w:rPr>
      </w:pPr>
      <w:r>
        <w:rPr>
          <w:rFonts w:hint="eastAsia" w:ascii="黑体" w:hAnsi="宋体" w:eastAsia="黑体"/>
          <w:szCs w:val="21"/>
        </w:rPr>
        <w:t>一、项目类别</w:t>
      </w:r>
    </w:p>
    <w:p>
      <w:pPr>
        <w:shd w:val="clear" w:color="auto" w:fill="FFFFFF"/>
        <w:tabs>
          <w:tab w:val="left" w:pos="1260"/>
          <w:tab w:val="left" w:pos="1395"/>
          <w:tab w:val="left" w:pos="1800"/>
        </w:tabs>
        <w:spacing w:line="33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教学专项建设项目包括本科品牌专业、新办专业、精品课程、实验教学示范中心、教材建设等项目。</w:t>
      </w:r>
    </w:p>
    <w:p>
      <w:pPr>
        <w:shd w:val="clear" w:color="auto" w:fill="FFFFFF"/>
        <w:tabs>
          <w:tab w:val="left" w:pos="1260"/>
          <w:tab w:val="left" w:pos="1395"/>
          <w:tab w:val="left" w:pos="1800"/>
        </w:tabs>
        <w:spacing w:beforeLines="50" w:afterLines="50" w:line="330" w:lineRule="exact"/>
        <w:ind w:firstLine="420" w:firstLineChars="200"/>
        <w:rPr>
          <w:rFonts w:hint="eastAsia" w:ascii="黑体" w:hAnsi="宋体" w:eastAsia="黑体"/>
          <w:szCs w:val="21"/>
        </w:rPr>
      </w:pPr>
      <w:r>
        <w:rPr>
          <w:rFonts w:hint="eastAsia" w:ascii="黑体" w:hAnsi="宋体" w:eastAsia="黑体"/>
          <w:szCs w:val="21"/>
        </w:rPr>
        <w:t>二、管理职责</w:t>
      </w:r>
    </w:p>
    <w:p>
      <w:pPr>
        <w:shd w:val="clear" w:color="auto" w:fill="FFFFFF"/>
        <w:tabs>
          <w:tab w:val="left" w:pos="1260"/>
          <w:tab w:val="left" w:pos="1395"/>
          <w:tab w:val="left" w:pos="1800"/>
        </w:tabs>
        <w:spacing w:line="33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1、学校分管教学的校长为教学专项建设项目管理的第一责任人，教务处负责教学专项建设项目的日常管理工作。</w:t>
      </w:r>
    </w:p>
    <w:p>
      <w:pPr>
        <w:shd w:val="clear" w:color="auto" w:fill="FFFFFF"/>
        <w:tabs>
          <w:tab w:val="left" w:pos="1260"/>
          <w:tab w:val="left" w:pos="1395"/>
          <w:tab w:val="left" w:pos="1800"/>
        </w:tabs>
        <w:spacing w:line="33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2、承担教学专项建设项目的学院（系）成立教学专项建设项目领导小组，负责项目建设的组织与指导；审定项目建设总体规划、年度建设计划和经费的预算，对经费的使用情况进行监督；落实项目建设的配套措施；研究决定项目建设的重要问题；督促项目负责人按项目建设规划实施项目建设；配合学校完成对建设项目的验收等。</w:t>
      </w:r>
    </w:p>
    <w:p>
      <w:pPr>
        <w:shd w:val="clear" w:color="auto" w:fill="FFFFFF"/>
        <w:tabs>
          <w:tab w:val="left" w:pos="1260"/>
          <w:tab w:val="left" w:pos="1395"/>
          <w:tab w:val="left" w:pos="1800"/>
        </w:tabs>
        <w:spacing w:line="33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3、教学专项建设项目负责人是组织实施项目建设的直接责任人，主要负责完善项目建设的总体规划和年度建设计划；设置建设项目的子项目；提出各子项目的建设经费预算；协调各子项目负责人按项目建设要求完成项目建设任务；定期向教学专项建设项目领导小组报告项目建设进展和经费使用情况等。</w:t>
      </w:r>
    </w:p>
    <w:p>
      <w:pPr>
        <w:shd w:val="clear" w:color="auto" w:fill="FFFFFF"/>
        <w:tabs>
          <w:tab w:val="left" w:pos="1260"/>
          <w:tab w:val="left" w:pos="1395"/>
          <w:tab w:val="left" w:pos="1800"/>
        </w:tabs>
        <w:spacing w:beforeLines="50" w:afterLines="50" w:line="330" w:lineRule="exact"/>
        <w:ind w:firstLine="420" w:firstLineChars="200"/>
        <w:rPr>
          <w:rFonts w:hint="eastAsia" w:ascii="黑体" w:hAnsi="宋体" w:eastAsia="黑体"/>
          <w:szCs w:val="21"/>
        </w:rPr>
      </w:pPr>
      <w:r>
        <w:rPr>
          <w:rFonts w:hint="eastAsia" w:ascii="黑体" w:hAnsi="宋体" w:eastAsia="黑体"/>
          <w:szCs w:val="21"/>
        </w:rPr>
        <w:t>三、管理程序</w:t>
      </w:r>
    </w:p>
    <w:p>
      <w:pPr>
        <w:shd w:val="clear" w:color="auto" w:fill="FFFFFF"/>
        <w:tabs>
          <w:tab w:val="left" w:pos="1260"/>
          <w:tab w:val="left" w:pos="1395"/>
          <w:tab w:val="left" w:pos="1800"/>
        </w:tabs>
        <w:spacing w:line="33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1、项目一经立项，项目负责人应在30日内根据项目评审专家的意见、建议完善项目建设总体规划和年度建设计划，按需要设立项目子课题、确定子课题负责人，提出子课题经费预算，组织填写《教学专项建设项目任务书》。</w:t>
      </w:r>
    </w:p>
    <w:p>
      <w:pPr>
        <w:shd w:val="clear" w:color="auto" w:fill="FFFFFF"/>
        <w:tabs>
          <w:tab w:val="left" w:pos="1260"/>
          <w:tab w:val="left" w:pos="1395"/>
          <w:tab w:val="left" w:pos="1800"/>
        </w:tabs>
        <w:spacing w:line="33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2、《教学专项建设项目任务书》由教学专项建设项目领导小组审查通过后报教务处备案，项目建设工作同时启动。</w:t>
      </w:r>
    </w:p>
    <w:p>
      <w:pPr>
        <w:shd w:val="clear" w:color="auto" w:fill="FFFFFF"/>
        <w:tabs>
          <w:tab w:val="left" w:pos="1260"/>
          <w:tab w:val="left" w:pos="1395"/>
          <w:tab w:val="left" w:pos="1800"/>
        </w:tabs>
        <w:spacing w:line="33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3、项目建设启动后，项目负责人原则上不得调整项目组成员，确因项目建设需要的，须经教学专项建设项目领导小组批准，并报教务处备案。</w:t>
      </w:r>
    </w:p>
    <w:p>
      <w:pPr>
        <w:shd w:val="clear" w:color="auto" w:fill="FFFFFF"/>
        <w:tabs>
          <w:tab w:val="left" w:pos="1260"/>
          <w:tab w:val="left" w:pos="1395"/>
          <w:tab w:val="left" w:pos="1800"/>
        </w:tabs>
        <w:spacing w:line="33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4、项目建设期间，项目组每年12月底以前应向教学专项建设项目领导小组提交项目建设进展报告。教学专项建设项目领导小组对项目建设进展报告作出评价后报教务处备案。</w:t>
      </w:r>
    </w:p>
    <w:p>
      <w:pPr>
        <w:shd w:val="clear" w:color="auto" w:fill="FFFFFF"/>
        <w:tabs>
          <w:tab w:val="left" w:pos="1260"/>
          <w:tab w:val="left" w:pos="1395"/>
          <w:tab w:val="left" w:pos="1800"/>
        </w:tabs>
        <w:spacing w:line="33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5、学校对教学专项建设项目的建设进展进行年度考核，对不能按项目建设计划实现预期建设目标的，责令其限期整改，整改后仍达不到要求的，停止项目的建设工作。</w:t>
      </w:r>
    </w:p>
    <w:p>
      <w:pPr>
        <w:shd w:val="clear" w:color="auto" w:fill="FFFFFF"/>
        <w:tabs>
          <w:tab w:val="left" w:pos="1260"/>
          <w:tab w:val="left" w:pos="1395"/>
          <w:tab w:val="left" w:pos="1800"/>
        </w:tabs>
        <w:spacing w:beforeLines="50" w:afterLines="50" w:line="330" w:lineRule="exact"/>
        <w:ind w:firstLine="420" w:firstLineChars="200"/>
        <w:rPr>
          <w:rFonts w:hint="eastAsia" w:ascii="黑体" w:hAnsi="宋体" w:eastAsia="黑体"/>
          <w:szCs w:val="21"/>
        </w:rPr>
      </w:pPr>
      <w:r>
        <w:rPr>
          <w:rFonts w:hint="eastAsia" w:ascii="黑体" w:hAnsi="宋体" w:eastAsia="黑体"/>
          <w:szCs w:val="21"/>
        </w:rPr>
        <w:t>四、经费管理</w:t>
      </w:r>
    </w:p>
    <w:p>
      <w:pPr>
        <w:shd w:val="clear" w:color="auto" w:fill="FFFFFF"/>
        <w:tabs>
          <w:tab w:val="left" w:pos="1260"/>
          <w:tab w:val="left" w:pos="1395"/>
          <w:tab w:val="left" w:pos="1800"/>
        </w:tabs>
        <w:spacing w:line="33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1、项目经费属学校专项经费管理范畴，必须专款专用，独立核算，精心安排，合理使用，以求效益的最大化，任何单位和个人不得以任何理由或方式侵占、挪用。</w:t>
      </w:r>
    </w:p>
    <w:p>
      <w:pPr>
        <w:shd w:val="clear" w:color="auto" w:fill="FFFFFF"/>
        <w:tabs>
          <w:tab w:val="left" w:pos="1260"/>
          <w:tab w:val="left" w:pos="1395"/>
          <w:tab w:val="left" w:pos="1800"/>
        </w:tabs>
        <w:spacing w:line="33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2、项目承担单位和项目负责人要强化项目经费的预算管理，按照审定的建设项目使用经费。项目建设经费单项支出1000元以下的由项目负责人审批；1000元以上、5000元以下的由教学专项建设项目领导小组组长审批；5000元以上的由教务处审批。</w:t>
      </w:r>
    </w:p>
    <w:p>
      <w:pPr>
        <w:shd w:val="clear" w:color="auto" w:fill="FFFFFF"/>
        <w:tabs>
          <w:tab w:val="left" w:pos="1260"/>
          <w:tab w:val="left" w:pos="1800"/>
        </w:tabs>
        <w:spacing w:line="33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3、经费使用范围：</w:t>
      </w:r>
    </w:p>
    <w:p>
      <w:pPr>
        <w:shd w:val="clear" w:color="auto" w:fill="FFFFFF"/>
        <w:tabs>
          <w:tab w:val="left" w:pos="1260"/>
          <w:tab w:val="left" w:pos="1395"/>
          <w:tab w:val="left" w:pos="1800"/>
        </w:tabs>
        <w:spacing w:line="33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1）品牌专业：专业梯队建设以及骨干教师的引进与培训；专业课程建设和专业教学资源网站建设；专业图书资料购置；专业教育教学模式的研究与实践；专业建设研讨；特色教材建设；实验室、实习基地建设；教学质量保障监控体系建设等。</w:t>
      </w:r>
    </w:p>
    <w:p>
      <w:pPr>
        <w:shd w:val="clear" w:color="auto" w:fill="FFFFFF"/>
        <w:tabs>
          <w:tab w:val="left" w:pos="1260"/>
          <w:tab w:val="left" w:pos="1395"/>
          <w:tab w:val="left" w:pos="1800"/>
        </w:tabs>
        <w:spacing w:line="33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（2）精品课程：课程网站的建设与维护；课程网络化开发；课程建设研讨；主讲教师培训；课程试题库建设、教材的引进、出版等。</w:t>
      </w:r>
    </w:p>
    <w:p>
      <w:pPr>
        <w:shd w:val="clear" w:color="auto" w:fill="FFFFFF"/>
        <w:tabs>
          <w:tab w:val="left" w:pos="1260"/>
          <w:tab w:val="left" w:pos="1395"/>
          <w:tab w:val="left" w:pos="1800"/>
        </w:tabs>
        <w:spacing w:line="33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（3）实验教学示范中心：仪器设备购置；教材建设（实验教材编写、出版，课件制作等）；实验教学改革与研究；人员培训等。</w:t>
      </w:r>
    </w:p>
    <w:p>
      <w:pPr>
        <w:shd w:val="clear" w:color="auto" w:fill="FFFFFF"/>
        <w:tabs>
          <w:tab w:val="left" w:pos="1260"/>
          <w:tab w:val="left" w:pos="1395"/>
          <w:tab w:val="left" w:pos="1800"/>
        </w:tabs>
        <w:spacing w:line="33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（4）新办专业：专业负责人、专业梯队建设以及骨干教师的引进与培训；讲义、教材、教辅材料和实验指导书的编撰；专业建设研讨；实验室、实习基地建设；必要的图书资料和小型教学仪器、设备的购置等。</w:t>
      </w:r>
    </w:p>
    <w:p>
      <w:pPr>
        <w:shd w:val="clear" w:color="auto" w:fill="FFFFFF"/>
        <w:tabs>
          <w:tab w:val="left" w:pos="1260"/>
          <w:tab w:val="left" w:pos="1395"/>
          <w:tab w:val="left" w:pos="1800"/>
        </w:tabs>
        <w:spacing w:line="330" w:lineRule="exact"/>
        <w:ind w:firstLine="392" w:firstLineChars="187"/>
        <w:rPr>
          <w:rFonts w:hint="eastAsia" w:ascii="方正书宋简体" w:hAnsi="宋体" w:eastAsia="方正书宋简体"/>
          <w:szCs w:val="21"/>
        </w:rPr>
      </w:pPr>
      <w:r>
        <w:rPr>
          <w:rFonts w:hint="eastAsia" w:ascii="方正书宋简体" w:hAnsi="宋体" w:eastAsia="方正书宋简体"/>
          <w:szCs w:val="21"/>
        </w:rPr>
        <w:t>（5）教材建设：教材出版；立体化教材（配套课件、网络化的案例库或习题库、网络化的实验实践指导、编者读者交流平台）的开发；教材建设研讨等。</w:t>
      </w:r>
    </w:p>
    <w:p>
      <w:pPr>
        <w:shd w:val="clear" w:color="auto" w:fill="FFFFFF"/>
        <w:tabs>
          <w:tab w:val="left" w:pos="1260"/>
          <w:tab w:val="left" w:pos="1395"/>
          <w:tab w:val="left" w:pos="1800"/>
        </w:tabs>
        <w:spacing w:line="33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4、项目建设中期，学校将对项目经费使用情况进行专项检查。对违反学校专项经费管理规定的，项目主管部门将视情节轻重分别给予书面警告、通报批评、停止拨款、追回已拨款项等处理。</w:t>
      </w:r>
    </w:p>
    <w:p>
      <w:pPr>
        <w:shd w:val="clear" w:color="auto" w:fill="FFFFFF"/>
        <w:tabs>
          <w:tab w:val="left" w:pos="1260"/>
          <w:tab w:val="left" w:pos="1395"/>
          <w:tab w:val="left" w:pos="1800"/>
        </w:tabs>
        <w:spacing w:beforeLines="50" w:afterLines="50" w:line="330" w:lineRule="exact"/>
        <w:ind w:firstLine="420" w:firstLineChars="200"/>
        <w:rPr>
          <w:rFonts w:hint="eastAsia" w:ascii="黑体" w:hAnsi="宋体" w:eastAsia="黑体"/>
          <w:szCs w:val="21"/>
        </w:rPr>
      </w:pPr>
      <w:r>
        <w:rPr>
          <w:rFonts w:hint="eastAsia" w:ascii="黑体" w:hAnsi="宋体" w:eastAsia="黑体"/>
          <w:szCs w:val="21"/>
        </w:rPr>
        <w:t>五、项目验收</w:t>
      </w:r>
    </w:p>
    <w:p>
      <w:pPr>
        <w:shd w:val="clear" w:color="auto" w:fill="FFFFFF"/>
        <w:tabs>
          <w:tab w:val="left" w:pos="1260"/>
          <w:tab w:val="left" w:pos="1395"/>
          <w:tab w:val="left" w:pos="1800"/>
        </w:tabs>
        <w:spacing w:line="33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1、项目建设期满后，教学专项建设项目领导小组应督促项目负责人及时做好建设项目的验收准备工作，并组织专家对项目建设成果进行预验收。预验收通过后，由项目负责人向学校项目主管部门提出正式验收申请。</w:t>
      </w:r>
    </w:p>
    <w:p>
      <w:pPr>
        <w:shd w:val="clear" w:color="auto" w:fill="FFFFFF"/>
        <w:tabs>
          <w:tab w:val="left" w:pos="1260"/>
          <w:tab w:val="left" w:pos="1395"/>
          <w:tab w:val="left" w:pos="1800"/>
        </w:tabs>
        <w:spacing w:line="33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2、校级建设项目由学校主管部门聘请专家进行验收；省级及以上级别的建设项目，由学校报请上级主管部门组织专家进行验收。</w:t>
      </w:r>
    </w:p>
    <w:p>
      <w:pPr>
        <w:shd w:val="clear" w:color="auto" w:fill="FFFFFF"/>
        <w:tabs>
          <w:tab w:val="left" w:pos="1260"/>
          <w:tab w:val="left" w:pos="1395"/>
          <w:tab w:val="left" w:pos="1800"/>
        </w:tabs>
        <w:spacing w:line="33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3、凡通过验收并获得专家组较高评价的建设项目，学校将对项目承担单位和项目负责人给予适当的奖励，优先推荐其向上级部门申报教学专项建设项目；对验收不合格的建设项目，项目承担单位和项目负责人3年内不得申报同类教学专项建设项目，并适当减少项目承担单位当年的教学业务费投入。</w:t>
      </w:r>
    </w:p>
    <w:p>
      <w:pPr>
        <w:shd w:val="clear" w:color="auto" w:fill="FFFFFF"/>
        <w:tabs>
          <w:tab w:val="left" w:pos="1260"/>
          <w:tab w:val="left" w:pos="1395"/>
          <w:tab w:val="left" w:pos="1800"/>
        </w:tabs>
        <w:spacing w:beforeLines="50" w:afterLines="50" w:line="330" w:lineRule="exact"/>
        <w:ind w:firstLine="420" w:firstLineChars="200"/>
        <w:rPr>
          <w:rFonts w:hint="eastAsia" w:ascii="黑体" w:hAnsi="宋体" w:eastAsia="黑体"/>
          <w:szCs w:val="21"/>
        </w:rPr>
      </w:pPr>
      <w:r>
        <w:rPr>
          <w:rFonts w:hint="eastAsia" w:ascii="黑体" w:hAnsi="宋体" w:eastAsia="黑体"/>
          <w:szCs w:val="21"/>
        </w:rPr>
        <w:t>六、本规定印发之日后启动的建设项目按本规定进行管理。本规定由教务处负责解释。</w:t>
      </w:r>
    </w:p>
    <w:p>
      <w:pPr>
        <w:spacing w:line="360" w:lineRule="auto"/>
        <w:ind w:firstLine="6000" w:firstLineChars="2500"/>
        <w:rPr>
          <w:sz w:val="24"/>
        </w:rPr>
      </w:pPr>
    </w:p>
    <w:p>
      <w:pPr>
        <w:spacing w:line="360" w:lineRule="auto"/>
        <w:ind w:firstLine="6000" w:firstLineChars="2500"/>
        <w:rPr>
          <w:sz w:val="24"/>
        </w:rPr>
      </w:pPr>
      <w:r>
        <w:rPr>
          <w:sz w:val="24"/>
        </w:rPr>
        <w:drawing>
          <wp:anchor distT="0" distB="0" distL="114300" distR="114300" simplePos="0" relativeHeight="251659264" behindDoc="0" locked="0" layoutInCell="1" allowOverlap="1">
            <wp:simplePos x="0" y="0"/>
            <wp:positionH relativeFrom="column">
              <wp:posOffset>3530600</wp:posOffset>
            </wp:positionH>
            <wp:positionV relativeFrom="paragraph">
              <wp:posOffset>-461645</wp:posOffset>
            </wp:positionV>
            <wp:extent cx="1524000" cy="138112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524000" cy="1381125"/>
                    </a:xfrm>
                    <a:prstGeom prst="rect">
                      <a:avLst/>
                    </a:prstGeom>
                  </pic:spPr>
                </pic:pic>
              </a:graphicData>
            </a:graphic>
          </wp:anchor>
        </w:drawing>
      </w:r>
      <w:r>
        <w:rPr>
          <w:rFonts w:hint="eastAsia"/>
          <w:sz w:val="24"/>
        </w:rPr>
        <w:t>湖  北  大  学</w:t>
      </w:r>
    </w:p>
    <w:p>
      <w:pPr>
        <w:spacing w:line="360" w:lineRule="auto"/>
        <w:rPr>
          <w:sz w:val="24"/>
        </w:rPr>
      </w:pPr>
      <w:r>
        <w:rPr>
          <w:rFonts w:hint="eastAsia"/>
          <w:sz w:val="24"/>
        </w:rPr>
        <w:t xml:space="preserve">                                                  20</w:t>
      </w:r>
      <w:r>
        <w:rPr>
          <w:rFonts w:hint="eastAsia"/>
          <w:sz w:val="24"/>
          <w:lang w:val="en-US" w:eastAsia="zh-CN"/>
        </w:rPr>
        <w:t>06</w:t>
      </w:r>
      <w:r>
        <w:rPr>
          <w:rFonts w:hint="eastAsia"/>
          <w:sz w:val="24"/>
        </w:rPr>
        <w:t>年</w:t>
      </w:r>
      <w:r>
        <w:rPr>
          <w:rFonts w:hint="eastAsia"/>
          <w:sz w:val="24"/>
          <w:lang w:val="en-US" w:eastAsia="zh-CN"/>
        </w:rPr>
        <w:t>10</w:t>
      </w:r>
      <w:r>
        <w:rPr>
          <w:rFonts w:hint="eastAsia"/>
          <w:sz w:val="24"/>
        </w:rPr>
        <w:t>月</w:t>
      </w:r>
      <w:r>
        <w:rPr>
          <w:rFonts w:hint="eastAsia"/>
          <w:sz w:val="24"/>
          <w:lang w:val="en-US" w:eastAsia="zh-CN"/>
        </w:rPr>
        <w:t>26</w:t>
      </w:r>
      <w:r>
        <w:rPr>
          <w:rFonts w:hint="eastAsia"/>
          <w:sz w:val="24"/>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简体">
    <w:altName w:val="宋体"/>
    <w:panose1 w:val="00000000000000000000"/>
    <w:charset w:val="86"/>
    <w:family w:val="auto"/>
    <w:pitch w:val="default"/>
    <w:sig w:usb0="00000000" w:usb1="00000000" w:usb2="00000010" w:usb3="00000000" w:csb0="00040000" w:csb1="00000000"/>
  </w:font>
  <w:font w:name="方正小标宋简体">
    <w:altName w:val="方正舒体"/>
    <w:panose1 w:val="03000509000000000000"/>
    <w:charset w:val="86"/>
    <w:family w:val="script"/>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lMDI1NDQxYjdiODE4NDE2ZGFjYmQzZTEwNWZjMWUifQ=="/>
  </w:docVars>
  <w:rsids>
    <w:rsidRoot w:val="3F355DE1"/>
    <w:rsid w:val="2B9C28DF"/>
    <w:rsid w:val="3F355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1853</Words>
  <Characters>1879</Characters>
  <Lines>0</Lines>
  <Paragraphs>0</Paragraphs>
  <TotalTime>0</TotalTime>
  <ScaleCrop>false</ScaleCrop>
  <LinksUpToDate>false</LinksUpToDate>
  <CharactersWithSpaces>1883</CharactersWithSpaces>
  <Application>WPS Office_11.1.0.12650_F1E327BC-269C-435d-A152-05C5408002CA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2020-07-19T22:01:00Z</dcterms:created>
  <dc:creator>Chan</dc:creator>
  <cp:lastModifiedBy>鱼小鱼丫</cp:lastModifiedBy>
  <dcterms:modified xsi:type="dcterms:W3CDTF">2022-11-05T06:28:45Z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2052-11.1.0.12650</vt:lpwstr>
  </property>
  <property fmtid="{D5CDD505-2E9C-101B-9397-08002B2CF9AE}" pid="3" name="ICV">
    <vt:lpwstr>8DA74ECBE5C94486B67469E769CBC1AE</vt:lpwstr>
  </property>
</Properties>
</file>